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jc w:val="center"/>
      </w:pPr>
      <w:r>
        <w:rPr>
          <w:rFonts w:ascii="맑은 고딕" w:hAnsi="맑은 고딕" w:eastAsia="맑은 고딕"/>
          <w:b/>
          <w:sz w:val="48"/>
        </w:rPr>
        <w:t>차   용   증</w:t>
      </w:r>
    </w:p>
    <w:p>
      <w:pPr>
        <w:spacing w:line="312" w:lineRule="auto" w:before="40" w:after="320"/>
        <w:ind w:left="0"/>
      </w:pPr>
      <w:r>
        <w:rPr>
          <w:rFonts w:ascii="맑은 고딕" w:hAnsi="맑은 고딕" w:eastAsia="맑은 고딕"/>
          <w:b w:val="0"/>
          <w:sz w:val="21"/>
        </w:rPr>
        <w:t>채권자 ○○○(이하 "갑"이라 한다)와 채무자 ○○○(이하 "을"이라 한다)는 아래와 같이 금전소비대차계약을 체결하고, 이를 증명하기 위하여 이 차용증을 작성한다.</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247"/>
          </w:tcPr>
          <w:p>
            <w:pPr>
              <w:jc w:val="center"/>
            </w:pPr>
            <w:r>
              <w:rPr>
                <w:rFonts w:ascii="맑은 고딕" w:hAnsi="맑은 고딕" w:eastAsia="맑은 고딕"/>
                <w:b/>
                <w:sz w:val="20"/>
              </w:rPr>
              <w:t>구분</w:t>
            </w:r>
          </w:p>
        </w:tc>
        <w:tc>
          <w:tcPr>
            <w:tcW w:type="dxa" w:w="3288"/>
          </w:tcPr>
          <w:p>
            <w:pPr>
              <w:jc w:val="center"/>
            </w:pPr>
            <w:r>
              <w:rPr>
                <w:rFonts w:ascii="맑은 고딕" w:hAnsi="맑은 고딕" w:eastAsia="맑은 고딕"/>
                <w:b/>
                <w:sz w:val="20"/>
              </w:rPr>
              <w:t>갑 (채권자)</w:t>
            </w:r>
          </w:p>
        </w:tc>
        <w:tc>
          <w:tcPr>
            <w:tcW w:type="dxa" w:w="1247"/>
          </w:tcPr>
          <w:p>
            <w:pPr>
              <w:jc w:val="center"/>
            </w:pPr>
            <w:r>
              <w:rPr>
                <w:rFonts w:ascii="맑은 고딕" w:hAnsi="맑은 고딕" w:eastAsia="맑은 고딕"/>
                <w:b/>
                <w:sz w:val="20"/>
              </w:rPr>
              <w:t>구분</w:t>
            </w:r>
          </w:p>
        </w:tc>
        <w:tc>
          <w:tcPr>
            <w:tcW w:type="dxa" w:w="3288"/>
          </w:tcPr>
          <w:p>
            <w:pPr>
              <w:jc w:val="center"/>
            </w:pPr>
            <w:r>
              <w:rPr>
                <w:rFonts w:ascii="맑은 고딕" w:hAnsi="맑은 고딕" w:eastAsia="맑은 고딕"/>
                <w:b/>
                <w:sz w:val="20"/>
              </w:rPr>
              <w:t>을 (채무자)</w:t>
            </w:r>
          </w:p>
        </w:tc>
      </w:tr>
      <w:tr>
        <w:tc>
          <w:tcPr>
            <w:tcW w:type="dxa" w:w="1247"/>
          </w:tcPr>
          <w:p>
            <w:pPr>
              <w:jc w:val="center"/>
            </w:pPr>
            <w:r>
              <w:rPr>
                <w:rFonts w:ascii="맑은 고딕" w:hAnsi="맑은 고딕" w:eastAsia="맑은 고딕"/>
                <w:b/>
                <w:sz w:val="20"/>
              </w:rPr>
              <w:t>성  명</w:t>
            </w:r>
          </w:p>
        </w:tc>
        <w:tc>
          <w:tcPr>
            <w:tcW w:type="dxa" w:w="3288"/>
          </w:tcPr>
          <w:p>
            <w:pPr>
              <w:jc w:val="left"/>
            </w:pPr>
            <w:r>
              <w:rPr>
                <w:rFonts w:ascii="맑은 고딕" w:hAnsi="맑은 고딕" w:eastAsia="맑은 고딕"/>
                <w:b w:val="0"/>
                <w:sz w:val="20"/>
              </w:rPr>
            </w:r>
          </w:p>
        </w:tc>
        <w:tc>
          <w:tcPr>
            <w:tcW w:type="dxa" w:w="1247"/>
          </w:tcPr>
          <w:p>
            <w:pPr>
              <w:jc w:val="center"/>
            </w:pPr>
            <w:r>
              <w:rPr>
                <w:rFonts w:ascii="맑은 고딕" w:hAnsi="맑은 고딕" w:eastAsia="맑은 고딕"/>
                <w:b/>
                <w:sz w:val="20"/>
              </w:rPr>
              <w:t>성  명</w:t>
            </w:r>
          </w:p>
        </w:tc>
        <w:tc>
          <w:tcPr>
            <w:tcW w:type="dxa" w:w="3288"/>
          </w:tcPr>
          <w:p>
            <w:pPr>
              <w:jc w:val="left"/>
            </w:pPr>
            <w:r>
              <w:rPr>
                <w:rFonts w:ascii="맑은 고딕" w:hAnsi="맑은 고딕" w:eastAsia="맑은 고딕"/>
                <w:b w:val="0"/>
                <w:sz w:val="20"/>
              </w:rPr>
            </w:r>
          </w:p>
        </w:tc>
      </w:tr>
      <w:tr>
        <w:tc>
          <w:tcPr>
            <w:tcW w:type="dxa" w:w="1247"/>
          </w:tcPr>
          <w:p>
            <w:pPr>
              <w:jc w:val="center"/>
            </w:pPr>
            <w:r>
              <w:rPr>
                <w:rFonts w:ascii="맑은 고딕" w:hAnsi="맑은 고딕" w:eastAsia="맑은 고딕"/>
                <w:b/>
                <w:sz w:val="20"/>
              </w:rPr>
              <w:t>주민등록번호</w:t>
            </w:r>
          </w:p>
        </w:tc>
        <w:tc>
          <w:tcPr>
            <w:tcW w:type="dxa" w:w="3288"/>
          </w:tcPr>
          <w:p>
            <w:pPr>
              <w:jc w:val="left"/>
            </w:pPr>
            <w:r>
              <w:rPr>
                <w:rFonts w:ascii="맑은 고딕" w:hAnsi="맑은 고딕" w:eastAsia="맑은 고딕"/>
                <w:b w:val="0"/>
                <w:sz w:val="20"/>
              </w:rPr>
            </w:r>
          </w:p>
        </w:tc>
        <w:tc>
          <w:tcPr>
            <w:tcW w:type="dxa" w:w="1247"/>
          </w:tcPr>
          <w:p>
            <w:pPr>
              <w:jc w:val="center"/>
            </w:pPr>
            <w:r>
              <w:rPr>
                <w:rFonts w:ascii="맑은 고딕" w:hAnsi="맑은 고딕" w:eastAsia="맑은 고딕"/>
                <w:b/>
                <w:sz w:val="20"/>
              </w:rPr>
              <w:t>주민등록번호</w:t>
            </w:r>
          </w:p>
        </w:tc>
        <w:tc>
          <w:tcPr>
            <w:tcW w:type="dxa" w:w="3288"/>
          </w:tcPr>
          <w:p>
            <w:pPr>
              <w:jc w:val="left"/>
            </w:pPr>
            <w:r>
              <w:rPr>
                <w:rFonts w:ascii="맑은 고딕" w:hAnsi="맑은 고딕" w:eastAsia="맑은 고딕"/>
                <w:b w:val="0"/>
                <w:sz w:val="20"/>
              </w:rPr>
            </w:r>
          </w:p>
        </w:tc>
      </w:tr>
      <w:tr>
        <w:tc>
          <w:tcPr>
            <w:tcW w:type="dxa" w:w="1247"/>
          </w:tcPr>
          <w:p>
            <w:pPr>
              <w:jc w:val="center"/>
            </w:pPr>
            <w:r>
              <w:rPr>
                <w:rFonts w:ascii="맑은 고딕" w:hAnsi="맑은 고딕" w:eastAsia="맑은 고딕"/>
                <w:b/>
                <w:sz w:val="20"/>
              </w:rPr>
              <w:t>주    소</w:t>
            </w:r>
          </w:p>
        </w:tc>
        <w:tc>
          <w:tcPr>
            <w:tcW w:type="dxa" w:w="3288"/>
          </w:tcPr>
          <w:p>
            <w:pPr>
              <w:jc w:val="left"/>
            </w:pPr>
            <w:r>
              <w:rPr>
                <w:rFonts w:ascii="맑은 고딕" w:hAnsi="맑은 고딕" w:eastAsia="맑은 고딕"/>
                <w:b w:val="0"/>
                <w:sz w:val="20"/>
              </w:rPr>
            </w:r>
          </w:p>
        </w:tc>
        <w:tc>
          <w:tcPr>
            <w:tcW w:type="dxa" w:w="1247"/>
          </w:tcPr>
          <w:p>
            <w:pPr>
              <w:jc w:val="center"/>
            </w:pPr>
            <w:r>
              <w:rPr>
                <w:rFonts w:ascii="맑은 고딕" w:hAnsi="맑은 고딕" w:eastAsia="맑은 고딕"/>
                <w:b/>
                <w:sz w:val="20"/>
              </w:rPr>
              <w:t>주    소</w:t>
            </w:r>
          </w:p>
        </w:tc>
        <w:tc>
          <w:tcPr>
            <w:tcW w:type="dxa" w:w="3288"/>
          </w:tcPr>
          <w:p>
            <w:pPr>
              <w:jc w:val="left"/>
            </w:pPr>
            <w:r>
              <w:rPr>
                <w:rFonts w:ascii="맑은 고딕" w:hAnsi="맑은 고딕" w:eastAsia="맑은 고딕"/>
                <w:b w:val="0"/>
                <w:sz w:val="20"/>
              </w:rPr>
            </w:r>
          </w:p>
        </w:tc>
      </w:tr>
      <w:tr>
        <w:tc>
          <w:tcPr>
            <w:tcW w:type="dxa" w:w="1247"/>
          </w:tcPr>
          <w:p>
            <w:pPr>
              <w:jc w:val="center"/>
            </w:pPr>
            <w:r>
              <w:rPr>
                <w:rFonts w:ascii="맑은 고딕" w:hAnsi="맑은 고딕" w:eastAsia="맑은 고딕"/>
                <w:b/>
                <w:sz w:val="20"/>
              </w:rPr>
              <w:t>연 락 처</w:t>
            </w:r>
          </w:p>
        </w:tc>
        <w:tc>
          <w:tcPr>
            <w:tcW w:type="dxa" w:w="3288"/>
          </w:tcPr>
          <w:p>
            <w:pPr>
              <w:jc w:val="left"/>
            </w:pPr>
            <w:r>
              <w:rPr>
                <w:rFonts w:ascii="맑은 고딕" w:hAnsi="맑은 고딕" w:eastAsia="맑은 고딕"/>
                <w:b w:val="0"/>
                <w:sz w:val="20"/>
              </w:rPr>
            </w:r>
          </w:p>
        </w:tc>
        <w:tc>
          <w:tcPr>
            <w:tcW w:type="dxa" w:w="1247"/>
          </w:tcPr>
          <w:p>
            <w:pPr>
              <w:jc w:val="center"/>
            </w:pPr>
            <w:r>
              <w:rPr>
                <w:rFonts w:ascii="맑은 고딕" w:hAnsi="맑은 고딕" w:eastAsia="맑은 고딕"/>
                <w:b/>
                <w:sz w:val="20"/>
              </w:rPr>
              <w:t>연 락 처</w:t>
            </w:r>
          </w:p>
        </w:tc>
        <w:tc>
          <w:tcPr>
            <w:tcW w:type="dxa" w:w="3288"/>
          </w:tcPr>
          <w:p>
            <w:pPr>
              <w:jc w:val="left"/>
            </w:pPr>
            <w:r>
              <w:rPr>
                <w:rFonts w:ascii="맑은 고딕" w:hAnsi="맑은 고딕" w:eastAsia="맑은 고딕"/>
                <w:b w:val="0"/>
                <w:sz w:val="20"/>
              </w:rPr>
            </w:r>
          </w:p>
        </w:tc>
      </w:tr>
    </w:tbl>
    <w:p>
      <w:pPr>
        <w:spacing w:before="200" w:after="40"/>
      </w:pPr>
      <w:r>
        <w:rPr>
          <w:rFonts w:ascii="맑은 고딕" w:hAnsi="맑은 고딕" w:eastAsia="맑은 고딕"/>
          <w:b/>
          <w:sz w:val="23"/>
        </w:rPr>
        <w:t>제1조 (차용금액)</w:t>
      </w:r>
    </w:p>
    <w:p>
      <w:pPr>
        <w:spacing w:line="312" w:lineRule="auto" w:before="40" w:after="40"/>
        <w:ind w:left="170"/>
      </w:pPr>
      <w:r>
        <w:rPr>
          <w:rFonts w:ascii="맑은 고딕" w:hAnsi="맑은 고딕" w:eastAsia="맑은 고딕"/>
          <w:b w:val="0"/>
          <w:sz w:val="21"/>
        </w:rPr>
        <w:t>을은 갑으로부터 금_____________________원整을 차용하고, 갑은 이를 을에게 대여한다.</w:t>
      </w:r>
    </w:p>
    <w:p>
      <w:pPr>
        <w:spacing w:before="200" w:after="40"/>
      </w:pPr>
      <w:r>
        <w:rPr>
          <w:rFonts w:ascii="맑은 고딕" w:hAnsi="맑은 고딕" w:eastAsia="맑은 고딕"/>
          <w:b/>
          <w:sz w:val="23"/>
        </w:rPr>
        <w:t>제2조 (차용일자)</w:t>
      </w:r>
    </w:p>
    <w:p>
      <w:pPr>
        <w:spacing w:line="312" w:lineRule="auto" w:before="40" w:after="40"/>
        <w:ind w:left="170"/>
      </w:pPr>
      <w:r>
        <w:rPr>
          <w:rFonts w:ascii="맑은 고딕" w:hAnsi="맑은 고딕" w:eastAsia="맑은 고딕"/>
          <w:b w:val="0"/>
          <w:sz w:val="21"/>
        </w:rPr>
        <w:t>위 금원의 차용일자는 20____년 ____월 ____일로 한다.</w:t>
      </w:r>
    </w:p>
    <w:p>
      <w:pPr>
        <w:spacing w:before="200" w:after="40"/>
      </w:pPr>
      <w:r>
        <w:rPr>
          <w:rFonts w:ascii="맑은 고딕" w:hAnsi="맑은 고딕" w:eastAsia="맑은 고딕"/>
          <w:b/>
          <w:sz w:val="23"/>
        </w:rPr>
        <w:t>제3조 (변제기일)</w:t>
      </w:r>
    </w:p>
    <w:p>
      <w:pPr>
        <w:spacing w:line="312" w:lineRule="auto" w:before="40" w:after="40"/>
        <w:ind w:left="170"/>
      </w:pPr>
      <w:r>
        <w:rPr>
          <w:rFonts w:ascii="맑은 고딕" w:hAnsi="맑은 고딕" w:eastAsia="맑은 고딕"/>
          <w:b w:val="0"/>
          <w:sz w:val="21"/>
        </w:rPr>
        <w:t>을은 위 차용금 전액을 20____년 ____월 ____일까지 갑에게 현금 또는 갑이 지정하는 계좌로 변제한다.</w:t>
      </w:r>
    </w:p>
    <w:p>
      <w:pPr>
        <w:spacing w:before="200" w:after="40"/>
      </w:pPr>
      <w:r>
        <w:rPr>
          <w:rFonts w:ascii="맑은 고딕" w:hAnsi="맑은 고딕" w:eastAsia="맑은 고딕"/>
          <w:b/>
          <w:sz w:val="23"/>
        </w:rPr>
        <w:t>제4조 (이자)</w:t>
      </w:r>
    </w:p>
    <w:p>
      <w:pPr>
        <w:spacing w:line="312" w:lineRule="auto" w:before="40" w:after="40"/>
        <w:ind w:left="170"/>
      </w:pPr>
      <w:r>
        <w:rPr>
          <w:rFonts w:ascii="맑은 고딕" w:hAnsi="맑은 고딕" w:eastAsia="맑은 고딕"/>
          <w:b w:val="0"/>
          <w:sz w:val="21"/>
        </w:rPr>
        <w:t>① 이자율은 연 _______%로 한다. (무이자인 경우 "무이자"라고 기재)</w:t>
      </w:r>
    </w:p>
    <w:p>
      <w:pPr>
        <w:spacing w:line="312" w:lineRule="auto" w:before="40" w:after="40"/>
        <w:ind w:left="170"/>
      </w:pPr>
      <w:r>
        <w:rPr>
          <w:rFonts w:ascii="맑은 고딕" w:hAnsi="맑은 고딕" w:eastAsia="맑은 고딕"/>
          <w:b w:val="0"/>
          <w:sz w:val="21"/>
        </w:rPr>
        <w:t>② 을은 매월 ____일에 이자를 갑에게 지급한다. 다만, 당사자가 합의하는 경우 원금 변제 시 이자를 함께 지급할 수 있다.</w:t>
      </w:r>
    </w:p>
    <w:p>
      <w:pPr>
        <w:spacing w:line="312" w:lineRule="auto" w:before="40" w:after="40"/>
        <w:ind w:left="170"/>
      </w:pPr>
      <w:r>
        <w:rPr>
          <w:rFonts w:ascii="맑은 고딕" w:hAnsi="맑은 고딕" w:eastAsia="맑은 고딕"/>
          <w:b w:val="0"/>
          <w:sz w:val="21"/>
        </w:rPr>
        <w:t>③ 이자율은 법정 최고이자율(연 20%)을 초과할 수 없으며, 이를 초과하는 부분은 무효로 한다.</w:t>
      </w:r>
    </w:p>
    <w:p>
      <w:pPr>
        <w:spacing w:before="200" w:after="40"/>
      </w:pPr>
      <w:r>
        <w:rPr>
          <w:rFonts w:ascii="맑은 고딕" w:hAnsi="맑은 고딕" w:eastAsia="맑은 고딕"/>
          <w:b/>
          <w:sz w:val="23"/>
        </w:rPr>
        <w:t>제5조 (지연손해금)</w:t>
      </w:r>
    </w:p>
    <w:p>
      <w:pPr>
        <w:spacing w:line="312" w:lineRule="auto" w:before="40" w:after="40"/>
        <w:ind w:left="170"/>
      </w:pPr>
      <w:r>
        <w:rPr>
          <w:rFonts w:ascii="맑은 고딕" w:hAnsi="맑은 고딕" w:eastAsia="맑은 고딕"/>
          <w:b w:val="0"/>
          <w:sz w:val="21"/>
        </w:rPr>
        <w:t>을이 제3조의 변제기일까지 차용금을 변제하지 아니하는 경우, 변제기일 다음 날부터 실제 변제일까지 연 20%의 비율로 계산한 지연손해금을 가산하여 지급한다.</w:t>
      </w:r>
    </w:p>
    <w:p>
      <w:pPr>
        <w:spacing w:before="200" w:after="40"/>
      </w:pPr>
      <w:r>
        <w:rPr>
          <w:rFonts w:ascii="맑은 고딕" w:hAnsi="맑은 고딕" w:eastAsia="맑은 고딕"/>
          <w:b/>
          <w:sz w:val="23"/>
        </w:rPr>
        <w:t>제6조 (기한이익의 상실)</w:t>
      </w:r>
    </w:p>
    <w:p>
      <w:pPr>
        <w:spacing w:line="312" w:lineRule="auto" w:before="40" w:after="40"/>
        <w:ind w:left="170"/>
      </w:pPr>
      <w:r>
        <w:rPr>
          <w:rFonts w:ascii="맑은 고딕" w:hAnsi="맑은 고딕" w:eastAsia="맑은 고딕"/>
          <w:b w:val="0"/>
          <w:sz w:val="21"/>
        </w:rPr>
        <w:t>을이 다음 각 호의 어느 하나에 해당하는 경우, 갑은 을에 대한 통지로써 기한의 이익을 상실시키고 즉시 잔여 차용금 전액의 변제를 청구할 수 있다.</w:t>
      </w:r>
    </w:p>
    <w:p>
      <w:pPr>
        <w:spacing w:line="312" w:lineRule="auto" w:before="40" w:after="40"/>
        <w:ind w:left="170"/>
      </w:pPr>
      <w:r>
        <w:rPr>
          <w:rFonts w:ascii="맑은 고딕" w:hAnsi="맑은 고딕" w:eastAsia="맑은 고딕"/>
          <w:b w:val="0"/>
          <w:sz w:val="21"/>
        </w:rPr>
        <w:t>1. 이자 지급을 2회 이상 연속하여 지체한 경우</w:t>
      </w:r>
    </w:p>
    <w:p>
      <w:pPr>
        <w:spacing w:line="312" w:lineRule="auto" w:before="40" w:after="40"/>
        <w:ind w:left="170"/>
      </w:pPr>
      <w:r>
        <w:rPr>
          <w:rFonts w:ascii="맑은 고딕" w:hAnsi="맑은 고딕" w:eastAsia="맑은 고딕"/>
          <w:b w:val="0"/>
          <w:sz w:val="21"/>
        </w:rPr>
        <w:t>2. 을에 대하여 파산, 회생절차 개시 신청이 있는 경우</w:t>
      </w:r>
    </w:p>
    <w:p>
      <w:pPr>
        <w:spacing w:line="312" w:lineRule="auto" w:before="40" w:after="40"/>
        <w:ind w:left="170"/>
      </w:pPr>
      <w:r>
        <w:rPr>
          <w:rFonts w:ascii="맑은 고딕" w:hAnsi="맑은 고딕" w:eastAsia="맑은 고딕"/>
          <w:b w:val="0"/>
          <w:sz w:val="21"/>
        </w:rPr>
        <w:t>3. 을이 제3자로부터 강제집행, 가압류, 가처분 등을 받은 경우</w:t>
      </w:r>
    </w:p>
    <w:p>
      <w:pPr>
        <w:spacing w:before="200" w:after="40"/>
      </w:pPr>
      <w:r>
        <w:rPr>
          <w:rFonts w:ascii="맑은 고딕" w:hAnsi="맑은 고딕" w:eastAsia="맑은 고딕"/>
          <w:b/>
          <w:sz w:val="23"/>
        </w:rPr>
        <w:t>제7조 (비용부담)</w:t>
      </w:r>
    </w:p>
    <w:p>
      <w:pPr>
        <w:spacing w:line="312" w:lineRule="auto" w:before="40" w:after="40"/>
        <w:ind w:left="170"/>
      </w:pPr>
      <w:r>
        <w:rPr>
          <w:rFonts w:ascii="맑은 고딕" w:hAnsi="맑은 고딕" w:eastAsia="맑은 고딕"/>
          <w:b w:val="0"/>
          <w:sz w:val="21"/>
        </w:rPr>
        <w:t>이 차용증과 관련하여 채권 회수를 위해 발생하는 비용(소송비용, 공증비용 등)은 을이 부담한다.</w:t>
      </w:r>
    </w:p>
    <w:p>
      <w:pPr>
        <w:spacing w:before="200" w:after="40"/>
      </w:pPr>
      <w:r>
        <w:rPr>
          <w:rFonts w:ascii="맑은 고딕" w:hAnsi="맑은 고딕" w:eastAsia="맑은 고딕"/>
          <w:b/>
          <w:sz w:val="23"/>
        </w:rPr>
        <w:t>제8조 (관할법원)</w:t>
      </w:r>
    </w:p>
    <w:p>
      <w:pPr>
        <w:spacing w:line="312" w:lineRule="auto" w:before="40" w:after="40"/>
        <w:ind w:left="170"/>
      </w:pPr>
      <w:r>
        <w:rPr>
          <w:rFonts w:ascii="맑은 고딕" w:hAnsi="맑은 고딕" w:eastAsia="맑은 고딕"/>
          <w:b w:val="0"/>
          <w:sz w:val="21"/>
        </w:rPr>
        <w:t>이 차용증과 관련하여 분쟁이 발생하는 경우, 민사소송법상의 관할법원을 관할법원으로 한다.</w:t>
      </w:r>
    </w:p>
    <w:p>
      <w:pPr>
        <w:spacing w:line="312" w:lineRule="auto" w:before="320" w:after="40"/>
        <w:ind w:left="0"/>
      </w:pPr>
      <w:r>
        <w:rPr>
          <w:rFonts w:ascii="맑은 고딕" w:hAnsi="맑은 고딕" w:eastAsia="맑은 고딕"/>
          <w:b w:val="0"/>
          <w:sz w:val="21"/>
        </w:rPr>
        <w:t>위 계약 내용을 증명하기 위하여 이 차용증을 2통 작성하고, 갑과 을은 각 조항을 충분히 확인한 후 아래에 서명 또는 기명날인하여 각 1통씩 보관한다.</w:t>
      </w:r>
    </w:p>
    <w:p>
      <w:pPr>
        <w:spacing w:before="400" w:after="400"/>
        <w:jc w:val="center"/>
      </w:pPr>
      <w:r>
        <w:rPr>
          <w:rFonts w:ascii="맑은 고딕" w:hAnsi="맑은 고딕" w:eastAsia="맑은 고딕"/>
          <w:b/>
          <w:sz w:val="24"/>
        </w:rPr>
        <w:t>20 ____ 년 ____ 월 ____ 일</w:t>
      </w:r>
    </w:p>
    <w:tbl>
      <w:tblPr>
        <w:tblStyle w:val="TableGrid"/>
        <w:tblW w:type="auto" w:w="0"/>
        <w:jc w:val="center"/>
        <w:tblLook w:firstColumn="1" w:firstRow="1" w:lastColumn="0" w:lastRow="0" w:noHBand="0" w:noVBand="1" w:val="04A0"/>
      </w:tblPr>
      <w:tblGrid>
        <w:gridCol w:w="4536"/>
        <w:gridCol w:w="4536"/>
      </w:tblGrid>
      <w:tr>
        <w:tc>
          <w:tcPr>
            <w:tcW w:type="dxa" w:w="4535"/>
          </w:tcPr>
          <w:p>
            <w:pPr>
              <w:jc w:val="center"/>
            </w:pPr>
            <w:r>
              <w:rPr>
                <w:rFonts w:ascii="맑은 고딕" w:hAnsi="맑은 고딕" w:eastAsia="맑은 고딕"/>
                <w:b/>
                <w:sz w:val="20"/>
              </w:rPr>
              <w:t>갑 (채권자) :  ○ ○ ○   (인/서명)</w:t>
            </w:r>
          </w:p>
        </w:tc>
        <w:tc>
          <w:tcPr>
            <w:tcW w:type="dxa" w:w="4535"/>
          </w:tcPr>
          <w:p>
            <w:pPr>
              <w:jc w:val="left"/>
            </w:pPr>
            <w:r>
              <w:rPr>
                <w:rFonts w:ascii="맑은 고딕" w:hAnsi="맑은 고딕" w:eastAsia="맑은 고딕"/>
                <w:sz w:val="20"/>
              </w:rPr>
              <w:t>을 (채무자) :  ○ ○ ○   (인/서명)</w:t>
            </w:r>
          </w:p>
        </w:tc>
      </w:tr>
      <w:tr>
        <w:tc>
          <w:tcPr>
            <w:tcW w:type="dxa" w:w="4535"/>
          </w:tcPr>
          <w:p>
            <w:pPr>
              <w:jc w:val="center"/>
            </w:pPr>
            <w:r>
              <w:rPr>
                <w:rFonts w:ascii="맑은 고딕" w:hAnsi="맑은 고딕" w:eastAsia="맑은 고딕"/>
                <w:b/>
                <w:sz w:val="20"/>
              </w:rPr>
              <w:t xml:space="preserve">(주소)  </w:t>
            </w:r>
          </w:p>
        </w:tc>
        <w:tc>
          <w:tcPr>
            <w:tcW w:type="dxa" w:w="4535"/>
          </w:tcPr>
          <w:p>
            <w:pPr>
              <w:jc w:val="left"/>
            </w:pPr>
            <w:r>
              <w:rPr>
                <w:rFonts w:ascii="맑은 고딕" w:hAnsi="맑은 고딕" w:eastAsia="맑은 고딕"/>
                <w:sz w:val="20"/>
              </w:rPr>
              <w:t xml:space="preserve">(주소)  </w:t>
            </w:r>
          </w:p>
        </w:tc>
      </w:tr>
    </w:tbl>
    <w:p>
      <w:pPr>
        <w:spacing w:before="400"/>
      </w:pPr>
    </w:p>
    <w:p>
      <w:pPr>
        <w:spacing w:before="400"/>
      </w:pPr>
      <w:r>
        <w:rPr>
          <w:rFonts w:ascii="맑은 고딕" w:hAnsi="맑은 고딕" w:eastAsia="맑은 고딕"/>
          <w:b w:val="0"/>
          <w:color w:val="787878"/>
          <w:sz w:val="17"/>
        </w:rPr>
        <w:t>※ 본 서식은 일반적인 금전 차용 상황을 위한 표준 양식이며, 개별 사안에 대한 법률 자문을 대체하지 않습니다. 이자를 기재하지 않으면 원칙적으로 무이자로 봅니다. 고액 거래이거나 분쟁 소지가 있는 경우 공증 또는 내용증명 발송 등 추가 조치를 권장합니다.</w:t>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